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791FFC" w14:textId="5F04B914" w:rsidR="007279E6" w:rsidRDefault="00565EFF">
      <w:pPr>
        <w:jc w:val="both"/>
        <w:rPr>
          <w:rFonts w:ascii="Calibri" w:eastAsia="Calibri" w:hAnsi="Calibri" w:cs="Calibri"/>
          <w:b/>
          <w:sz w:val="24"/>
          <w:szCs w:val="24"/>
        </w:rPr>
      </w:pPr>
      <w:r w:rsidRPr="00565EFF">
        <w:rPr>
          <w:rFonts w:ascii="Calibri" w:eastAsia="Calibri" w:hAnsi="Calibri" w:cs="Calibri"/>
          <w:b/>
          <w:sz w:val="24"/>
          <w:szCs w:val="24"/>
        </w:rPr>
        <w:t xml:space="preserve">Supplementary </w:t>
      </w:r>
      <w:r w:rsidR="001B0D61">
        <w:rPr>
          <w:rFonts w:ascii="Calibri" w:eastAsia="Calibri" w:hAnsi="Calibri" w:cs="Calibri"/>
          <w:b/>
          <w:sz w:val="24"/>
          <w:szCs w:val="24"/>
        </w:rPr>
        <w:t>Table 1</w:t>
      </w:r>
      <w:r w:rsidR="00DB3E71">
        <w:rPr>
          <w:rFonts w:ascii="Calibri" w:eastAsia="Calibri" w:hAnsi="Calibri" w:cs="Calibri"/>
          <w:b/>
          <w:sz w:val="24"/>
          <w:szCs w:val="24"/>
        </w:rPr>
        <w:t>4</w:t>
      </w:r>
      <w:bookmarkStart w:id="0" w:name="_GoBack"/>
      <w:bookmarkEnd w:id="0"/>
      <w:r w:rsidR="001B0D61">
        <w:rPr>
          <w:rFonts w:ascii="Calibri" w:eastAsia="Calibri" w:hAnsi="Calibri" w:cs="Calibri"/>
          <w:b/>
          <w:sz w:val="24"/>
          <w:szCs w:val="24"/>
        </w:rPr>
        <w:t xml:space="preserve">. Other evaluated features used in </w:t>
      </w:r>
      <w:proofErr w:type="spellStart"/>
      <w:r w:rsidR="001B0D61">
        <w:rPr>
          <w:rFonts w:ascii="Calibri" w:eastAsia="Calibri" w:hAnsi="Calibri" w:cs="Calibri"/>
          <w:b/>
          <w:sz w:val="24"/>
          <w:szCs w:val="24"/>
        </w:rPr>
        <w:t>onCohortDrive</w:t>
      </w:r>
      <w:proofErr w:type="spellEnd"/>
    </w:p>
    <w:p w14:paraId="1ECCBF1F" w14:textId="77777777" w:rsidR="007279E6" w:rsidRDefault="007279E6">
      <w:pPr>
        <w:jc w:val="both"/>
        <w:rPr>
          <w:rFonts w:ascii="Calibri" w:eastAsia="Calibri" w:hAnsi="Calibri" w:cs="Calibri"/>
          <w:b/>
          <w:sz w:val="24"/>
          <w:szCs w:val="24"/>
        </w:rPr>
      </w:pPr>
    </w:p>
    <w:tbl>
      <w:tblPr>
        <w:tblStyle w:val="a"/>
        <w:tblW w:w="9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5812"/>
        <w:gridCol w:w="2286"/>
      </w:tblGrid>
      <w:tr w:rsidR="007279E6" w14:paraId="5A024ADE" w14:textId="77777777">
        <w:tc>
          <w:tcPr>
            <w:tcW w:w="1129" w:type="dxa"/>
          </w:tcPr>
          <w:p w14:paraId="2FCCC10F" w14:textId="77777777" w:rsidR="007279E6" w:rsidRDefault="001B0D61">
            <w:pPr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Element</w:t>
            </w:r>
          </w:p>
        </w:tc>
        <w:tc>
          <w:tcPr>
            <w:tcW w:w="5812" w:type="dxa"/>
          </w:tcPr>
          <w:p w14:paraId="5D1735A6" w14:textId="77777777" w:rsidR="007279E6" w:rsidRDefault="001B0D61">
            <w:pPr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Score/Description</w:t>
            </w:r>
          </w:p>
        </w:tc>
        <w:tc>
          <w:tcPr>
            <w:tcW w:w="2286" w:type="dxa"/>
          </w:tcPr>
          <w:p w14:paraId="5E7217A7" w14:textId="77777777" w:rsidR="007279E6" w:rsidRDefault="001B0D61">
            <w:pPr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Contributor</w:t>
            </w:r>
          </w:p>
        </w:tc>
      </w:tr>
      <w:tr w:rsidR="007279E6" w14:paraId="3224A87A" w14:textId="77777777">
        <w:tc>
          <w:tcPr>
            <w:tcW w:w="1129" w:type="dxa"/>
          </w:tcPr>
          <w:p w14:paraId="24FF0163" w14:textId="77777777" w:rsidR="007279E6" w:rsidRDefault="001B0D61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CDS</w:t>
            </w:r>
          </w:p>
        </w:tc>
        <w:tc>
          <w:tcPr>
            <w:tcW w:w="5812" w:type="dxa"/>
          </w:tcPr>
          <w:p w14:paraId="65E50B87" w14:textId="7B5DEB84" w:rsidR="007279E6" w:rsidRDefault="001B0D61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Mutations affecting protein posttranslational modification (PTM) sites (computed using ActiveDriver2</w:t>
            </w:r>
            <w:r w:rsidRPr="001B0D61">
              <w:rPr>
                <w:rFonts w:ascii="Calibri" w:eastAsia="Calibri" w:hAnsi="Calibri" w:cs="Calibri"/>
                <w:sz w:val="24"/>
                <w:szCs w:val="24"/>
                <w:vertAlign w:val="superscript"/>
              </w:rPr>
              <w:t>1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</w:p>
        </w:tc>
        <w:tc>
          <w:tcPr>
            <w:tcW w:w="2286" w:type="dxa"/>
          </w:tcPr>
          <w:p w14:paraId="1EF82EB5" w14:textId="77777777" w:rsidR="007279E6" w:rsidRDefault="001B0D61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Juri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Reimand</w:t>
            </w:r>
            <w:proofErr w:type="spellEnd"/>
          </w:p>
        </w:tc>
      </w:tr>
      <w:tr w:rsidR="007279E6" w14:paraId="5C3DE5BC" w14:textId="77777777">
        <w:tc>
          <w:tcPr>
            <w:tcW w:w="1129" w:type="dxa"/>
          </w:tcPr>
          <w:p w14:paraId="4360182D" w14:textId="77777777" w:rsidR="007279E6" w:rsidRDefault="001B0D61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CDS</w:t>
            </w:r>
          </w:p>
        </w:tc>
        <w:tc>
          <w:tcPr>
            <w:tcW w:w="5812" w:type="dxa"/>
          </w:tcPr>
          <w:p w14:paraId="588C579A" w14:textId="5D21255B" w:rsidR="007279E6" w:rsidRDefault="001B0D61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Genes with significant clustering of missense mutations in the 3D protein structure (predicted using CLUMPS</w:t>
            </w:r>
            <w:r w:rsidRPr="001B0D61">
              <w:rPr>
                <w:rFonts w:ascii="Calibri" w:eastAsia="Calibri" w:hAnsi="Calibri" w:cs="Calibri"/>
                <w:sz w:val="24"/>
                <w:szCs w:val="24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</w:p>
        </w:tc>
        <w:tc>
          <w:tcPr>
            <w:tcW w:w="2286" w:type="dxa"/>
          </w:tcPr>
          <w:p w14:paraId="1B09A64F" w14:textId="77777777" w:rsidR="007279E6" w:rsidRDefault="001B0D61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Atanas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Kamburov</w:t>
            </w:r>
            <w:proofErr w:type="spellEnd"/>
          </w:p>
        </w:tc>
      </w:tr>
      <w:tr w:rsidR="007279E6" w14:paraId="54A42C39" w14:textId="77777777">
        <w:tc>
          <w:tcPr>
            <w:tcW w:w="1129" w:type="dxa"/>
          </w:tcPr>
          <w:p w14:paraId="4DA3509C" w14:textId="77777777" w:rsidR="007279E6" w:rsidRDefault="001B0D61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CDS</w:t>
            </w:r>
          </w:p>
        </w:tc>
        <w:tc>
          <w:tcPr>
            <w:tcW w:w="5812" w:type="dxa"/>
          </w:tcPr>
          <w:p w14:paraId="0D585F6B" w14:textId="5BA2FE61" w:rsidR="007279E6" w:rsidRDefault="001B0D61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Identification of pathogenic variants in human kinases (predicted using KinMut</w:t>
            </w:r>
            <w:r w:rsidRPr="001B0D61">
              <w:rPr>
                <w:rFonts w:ascii="Calibri" w:eastAsia="Calibri" w:hAnsi="Calibri" w:cs="Calibri"/>
                <w:sz w:val="24"/>
                <w:szCs w:val="24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</w:p>
        </w:tc>
        <w:tc>
          <w:tcPr>
            <w:tcW w:w="2286" w:type="dxa"/>
          </w:tcPr>
          <w:p w14:paraId="1251512F" w14:textId="77777777" w:rsidR="007279E6" w:rsidRDefault="001B0D61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Miguel Vazquez and Jose MG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Izarzugaza</w:t>
            </w:r>
            <w:proofErr w:type="spellEnd"/>
          </w:p>
        </w:tc>
      </w:tr>
      <w:tr w:rsidR="007279E6" w14:paraId="73A92A21" w14:textId="77777777">
        <w:tc>
          <w:tcPr>
            <w:tcW w:w="1129" w:type="dxa"/>
          </w:tcPr>
          <w:p w14:paraId="394170BB" w14:textId="77777777" w:rsidR="007279E6" w:rsidRDefault="001B0D61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CDS</w:t>
            </w:r>
          </w:p>
        </w:tc>
        <w:tc>
          <w:tcPr>
            <w:tcW w:w="5812" w:type="dxa"/>
          </w:tcPr>
          <w:p w14:paraId="1E8E9099" w14:textId="1705C5C7" w:rsidR="007279E6" w:rsidRDefault="001B0D61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Mutations affecting protein-protein interfaces (predicted using structure-PPi</w:t>
            </w:r>
            <w:r w:rsidRPr="001B0D61">
              <w:rPr>
                <w:rFonts w:ascii="Calibri" w:eastAsia="Calibri" w:hAnsi="Calibri" w:cs="Calibri"/>
                <w:sz w:val="24"/>
                <w:szCs w:val="24"/>
                <w:vertAlign w:val="superscript"/>
              </w:rPr>
              <w:t>4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</w:p>
        </w:tc>
        <w:tc>
          <w:tcPr>
            <w:tcW w:w="2286" w:type="dxa"/>
          </w:tcPr>
          <w:p w14:paraId="5E4E0F2D" w14:textId="77777777" w:rsidR="007279E6" w:rsidRDefault="001B0D61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Miguel Vazquez</w:t>
            </w:r>
          </w:p>
        </w:tc>
      </w:tr>
      <w:tr w:rsidR="007279E6" w14:paraId="2FF8D115" w14:textId="77777777">
        <w:tc>
          <w:tcPr>
            <w:tcW w:w="1129" w:type="dxa"/>
          </w:tcPr>
          <w:p w14:paraId="3BC22CB3" w14:textId="77777777" w:rsidR="007279E6" w:rsidRDefault="001B0D61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CDS</w:t>
            </w:r>
          </w:p>
        </w:tc>
        <w:tc>
          <w:tcPr>
            <w:tcW w:w="5812" w:type="dxa"/>
          </w:tcPr>
          <w:p w14:paraId="23399A7B" w14:textId="77777777" w:rsidR="007279E6" w:rsidRDefault="001B0D61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Mutations affecting catalytic and ligand-binding residues in protein sequences (predicted using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firestar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</w:p>
        </w:tc>
        <w:tc>
          <w:tcPr>
            <w:tcW w:w="2286" w:type="dxa"/>
          </w:tcPr>
          <w:p w14:paraId="73E83726" w14:textId="77777777" w:rsidR="007279E6" w:rsidRDefault="001B0D61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Miguel Vazquez </w:t>
            </w:r>
          </w:p>
          <w:p w14:paraId="2E989E2C" w14:textId="77777777" w:rsidR="007279E6" w:rsidRDefault="007279E6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7779D6F6" w14:textId="77777777" w:rsidR="007279E6" w:rsidRDefault="007279E6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18388E63" w14:textId="77777777" w:rsidR="007279E6" w:rsidRDefault="001B0D61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References:</w:t>
      </w:r>
    </w:p>
    <w:p w14:paraId="4CBB188C" w14:textId="77777777" w:rsidR="007279E6" w:rsidRDefault="007279E6">
      <w:pPr>
        <w:rPr>
          <w:rFonts w:ascii="Calibri" w:eastAsia="Calibri" w:hAnsi="Calibri" w:cs="Calibri"/>
          <w:sz w:val="24"/>
          <w:szCs w:val="24"/>
        </w:rPr>
      </w:pPr>
    </w:p>
    <w:p w14:paraId="40A98F9F" w14:textId="77777777" w:rsidR="007279E6" w:rsidRDefault="001B0D61">
      <w:pPr>
        <w:numPr>
          <w:ilvl w:val="0"/>
          <w:numId w:val="1"/>
        </w:numPr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sz w:val="24"/>
          <w:szCs w:val="24"/>
        </w:rPr>
        <w:t>Reimand</w:t>
      </w:r>
      <w:proofErr w:type="spellEnd"/>
      <w:r>
        <w:rPr>
          <w:rFonts w:ascii="Calibri" w:eastAsia="Calibri" w:hAnsi="Calibri" w:cs="Calibri"/>
          <w:sz w:val="24"/>
          <w:szCs w:val="24"/>
        </w:rPr>
        <w:t>, J. &amp; Bader, G. D. Systematic analysis of somatic mutations in phosphorylation signaling predicts novel cancer drivers. Mol. Syst. Biol. 9, 637 (2013).</w:t>
      </w:r>
    </w:p>
    <w:p w14:paraId="43F79BA8" w14:textId="77777777" w:rsidR="007279E6" w:rsidRDefault="001B0D61">
      <w:pPr>
        <w:numPr>
          <w:ilvl w:val="0"/>
          <w:numId w:val="1"/>
        </w:numPr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sz w:val="24"/>
          <w:szCs w:val="24"/>
        </w:rPr>
        <w:t>Kamburov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A. et al. Comprehensive assessment of cancer missense mutation clustering in protein structures. Proc Natl </w:t>
      </w:r>
      <w:proofErr w:type="spellStart"/>
      <w:r>
        <w:rPr>
          <w:rFonts w:ascii="Calibri" w:eastAsia="Calibri" w:hAnsi="Calibri" w:cs="Calibri"/>
          <w:sz w:val="24"/>
          <w:szCs w:val="24"/>
        </w:rPr>
        <w:t>Acad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Sci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U S A. 112(40):E5486-95 (2015).</w:t>
      </w:r>
    </w:p>
    <w:p w14:paraId="0D1B4E28" w14:textId="77777777" w:rsidR="007279E6" w:rsidRDefault="001B0D61">
      <w:pPr>
        <w:numPr>
          <w:ilvl w:val="0"/>
          <w:numId w:val="1"/>
        </w:numPr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sz w:val="24"/>
          <w:szCs w:val="24"/>
        </w:rPr>
        <w:t>Izarzugaza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J. M., del </w:t>
      </w:r>
      <w:proofErr w:type="spellStart"/>
      <w:r>
        <w:rPr>
          <w:rFonts w:ascii="Calibri" w:eastAsia="Calibri" w:hAnsi="Calibri" w:cs="Calibri"/>
          <w:sz w:val="24"/>
          <w:szCs w:val="24"/>
        </w:rPr>
        <w:t>Pozo</w:t>
      </w:r>
      <w:proofErr w:type="spellEnd"/>
      <w:r>
        <w:rPr>
          <w:rFonts w:ascii="Calibri" w:eastAsia="Calibri" w:hAnsi="Calibri" w:cs="Calibri"/>
          <w:sz w:val="24"/>
          <w:szCs w:val="24"/>
        </w:rPr>
        <w:t>, A., Vazquez, M. &amp; Valencia, A. Prioritization of pathogenic mutations in the protein kinase superfamily. BMC Genomics 13, S3 (2012).</w:t>
      </w:r>
    </w:p>
    <w:p w14:paraId="6B920B00" w14:textId="77777777" w:rsidR="007279E6" w:rsidRPr="001B0D61" w:rsidRDefault="001B0D61" w:rsidP="001B0D61">
      <w:pPr>
        <w:numPr>
          <w:ilvl w:val="0"/>
          <w:numId w:val="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4"/>
          <w:szCs w:val="24"/>
        </w:rPr>
        <w:t>Vázquez, M., Valencia, A. &amp; Pons, T. Structure-</w:t>
      </w:r>
      <w:proofErr w:type="spellStart"/>
      <w:r>
        <w:rPr>
          <w:rFonts w:ascii="Calibri" w:eastAsia="Calibri" w:hAnsi="Calibri" w:cs="Calibri"/>
          <w:sz w:val="24"/>
          <w:szCs w:val="24"/>
        </w:rPr>
        <w:t>PPi</w:t>
      </w:r>
      <w:proofErr w:type="spellEnd"/>
      <w:r>
        <w:rPr>
          <w:rFonts w:ascii="Calibri" w:eastAsia="Calibri" w:hAnsi="Calibri" w:cs="Calibri"/>
          <w:sz w:val="24"/>
          <w:szCs w:val="24"/>
        </w:rPr>
        <w:t>: a module for the annotation of cancer-related single-nucleotide variants at protein–protein interfaces: Fig. 1. Bioinformatics 31, 2397–2399 (2015).</w:t>
      </w:r>
    </w:p>
    <w:sectPr w:rsidR="007279E6" w:rsidRPr="001B0D6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04331"/>
    <w:multiLevelType w:val="multilevel"/>
    <w:tmpl w:val="BD4C96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9E6"/>
    <w:rsid w:val="001B0D61"/>
    <w:rsid w:val="00565EFF"/>
    <w:rsid w:val="007279E6"/>
    <w:rsid w:val="00DB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4DC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B0D61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D61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B0D61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D6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Mayhew, Hazel</cp:lastModifiedBy>
  <cp:revision>4</cp:revision>
  <dcterms:created xsi:type="dcterms:W3CDTF">2019-08-09T16:35:00Z</dcterms:created>
  <dcterms:modified xsi:type="dcterms:W3CDTF">2020-01-15T17:40:00Z</dcterms:modified>
</cp:coreProperties>
</file>